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hyperlink r:id="rId5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Case Va Vac Vae Vah Vao Tractor &amp; Engine Factory Service Repair Manual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drawing>
          <wp:inline distB="114300" distT="114300" distL="114300" distR="114300">
            <wp:extent cx="4762500" cy="4762500"/>
            <wp:effectExtent b="0" l="0" r="0" t="0"/>
            <wp:docPr descr="Case Va Vac Vae Vah Vao Tractor &amp; Engine Factory Service Repair Manual.jpg" id="1" name="image01.jpg"/>
            <a:graphic>
              <a:graphicData uri="http://schemas.openxmlformats.org/drawingml/2006/picture">
                <pic:pic>
                  <pic:nvPicPr>
                    <pic:cNvPr descr="Case Va Vac Vae Vah Vao Tractor &amp; Engine Factory Service Repair Manual.jpg" id="0" name="image0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DOWNLOAD MANUAL HERE</w:t>
        </w:r>
      </w:hyperlink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://catexcavatorservicerepairmanual.com/case-va-vac-vae-vah-vao-tractor-engine-factory-service-repair-manual/" TargetMode="External"/><Relationship Id="rId6" Type="http://schemas.openxmlformats.org/officeDocument/2006/relationships/image" Target="media/image01.jpg"/><Relationship Id="rId7" Type="http://schemas.openxmlformats.org/officeDocument/2006/relationships/hyperlink" Target="http://catexcavatorservicerepairmanual.com/case-va-vac-vae-vah-vao-tractor-engine-factory-service-repair-manual/" TargetMode="External"/></Relationships>
</file>